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75" w:rsidRPr="0043640D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43640D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640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3640D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43640D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43640D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166FA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3B423D" w:rsidRPr="0043640D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Какие из перечисленных понятий относятся к рынку труда?</w:t>
      </w:r>
    </w:p>
    <w:p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ликвидность</w:t>
      </w:r>
    </w:p>
    <w:p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средства производства</w:t>
      </w:r>
    </w:p>
    <w:p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рабочая сила</w:t>
      </w:r>
    </w:p>
    <w:p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труд</w:t>
      </w:r>
    </w:p>
    <w:p w:rsidR="003B423D" w:rsidRPr="0043640D" w:rsidRDefault="003B423D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iCs/>
          <w:sz w:val="28"/>
          <w:szCs w:val="28"/>
        </w:rPr>
        <w:t>Трудовые ресурсы — одна из форм выражения понятия:</w:t>
      </w:r>
    </w:p>
    <w:p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«Финансовые ресурсы»</w:t>
      </w:r>
    </w:p>
    <w:p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«Материальные ресурсы»</w:t>
      </w:r>
    </w:p>
    <w:p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«Сырьевые ресурсы»</w:t>
      </w:r>
    </w:p>
    <w:p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«Человеческие ресурсы»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Рынок труда – это только те товарно-денежные отношения, которые связаны:</w:t>
      </w:r>
    </w:p>
    <w:p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формирования рабочей силы</w:t>
      </w:r>
    </w:p>
    <w:p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использования рабочей силы</w:t>
      </w:r>
    </w:p>
    <w:p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спросом на рабочую силу, определяемым спросом на товар в обществе</w:t>
      </w:r>
    </w:p>
    <w:p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 использованием профессиональных востребованных способностей и их вознаграждением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Подвижное использование рабочего времени и функциональная смена рабочих мест — это:</w:t>
      </w:r>
    </w:p>
    <w:p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стандартные режимы использования полного рабочего времени</w:t>
      </w:r>
    </w:p>
    <w:p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режимы использования полного рабочего времени</w:t>
      </w:r>
    </w:p>
    <w:p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нестандартные режимы использования полного рабочего времени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Верно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ли утверждение, что совокупный объем предложения рабочей силы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рынке труда кроме занятых лиц, имеющих работу, включает и незанятых лиц, ищущих работу?</w:t>
      </w:r>
    </w:p>
    <w:p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</w:p>
    <w:p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 богатство состоит из:</w:t>
      </w:r>
    </w:p>
    <w:p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имущества;</w:t>
      </w:r>
    </w:p>
    <w:p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учтенных и вовлеченных в экономический оборот природных ресурсов;</w:t>
      </w:r>
    </w:p>
    <w:p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 и природных ресурсов;</w:t>
      </w:r>
    </w:p>
    <w:p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невозобновляемых природных ресурсов.</w:t>
      </w:r>
    </w:p>
    <w:p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начало года, тыс. руб. = 55000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43640D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Фондоемкость = … .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0,1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100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7,5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0,01</w:t>
      </w:r>
    </w:p>
    <w:p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1,75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Отношение объема произведенной продукции к средней стоимости основных фондов – это:</w:t>
      </w:r>
    </w:p>
    <w:p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фондоотдача;</w:t>
      </w:r>
    </w:p>
    <w:p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материалоемкость;</w:t>
      </w:r>
    </w:p>
    <w:p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фондоемкость;</w:t>
      </w:r>
    </w:p>
    <w:p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фондовооруженность;</w:t>
      </w:r>
    </w:p>
    <w:p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Относительное высвобождение оборотных средств имеет место, когда темпы роста объемов продаж … темпы (ов) роста остатков оборотных средств:</w:t>
      </w:r>
    </w:p>
    <w:p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опережают.</w:t>
      </w:r>
    </w:p>
    <w:p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обеспечивают.</w:t>
      </w:r>
    </w:p>
    <w:p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достигают.</w:t>
      </w:r>
    </w:p>
    <w:p w:rsidR="007166FA" w:rsidRPr="0043640D" w:rsidRDefault="007166FA" w:rsidP="007166F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определяется как:</w:t>
      </w:r>
    </w:p>
    <w:p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сырье, материалы, зарплату работникам.</w:t>
      </w:r>
    </w:p>
    <w:p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предприятия на производство и реализацию продукции</w:t>
      </w:r>
    </w:p>
    <w:p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финансирование инвестиционных проектов</w:t>
      </w:r>
    </w:p>
    <w:p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right="122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lastRenderedPageBreak/>
        <w:t>затраты на приобретение ценных бумаг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Валовая добавленная стоимость представляет собой:</w:t>
      </w:r>
    </w:p>
    <w:p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всех продуктов и услуг, произведенных и оказанных резидентами;</w:t>
      </w:r>
    </w:p>
    <w:p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выпуском и промежуточным потреблением продуктов и услуг;</w:t>
      </w:r>
    </w:p>
    <w:p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внутренним продуктом и чистыми налогами на продукты и импорт.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внутренний продукт в рыночных ценах, исчисленный рас</w:t>
      </w:r>
      <w:r w:rsidRPr="0043640D">
        <w:rPr>
          <w:rFonts w:ascii="Times New Roman" w:hAnsi="Times New Roman" w:cs="Times New Roman"/>
          <w:sz w:val="28"/>
          <w:szCs w:val="28"/>
        </w:rPr>
        <w:t>пределительным методом, представляет собой сумму: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конечного потребления продуктов (услуг), валового накопления и сальдо внешней торговли;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валовой добавленной стоимости и чистых налогов на продукты и импорт;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всех форм первичных доходов;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чистого внутреннего продукта и потребленного основного капитала.</w:t>
      </w:r>
    </w:p>
    <w:p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сбережение представляет собой: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разность между национальным доходом и величиной потребления основного капитала;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разность между располагаемым национальным доходом и величиной конечного потребления;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сумму национального дохода и сальдо текущих трансфертов из-за границы;</w:t>
      </w:r>
    </w:p>
    <w:p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разность между валовым внутренним продуктом и суммой величины конечного потребления и чистого экспорта товаров (услуг).</w:t>
      </w:r>
    </w:p>
    <w:p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 представляет собой:</w:t>
      </w:r>
    </w:p>
    <w:p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товаров и услуг в рыночных ценах, созданную резидентами на экономической территории страны;</w:t>
      </w:r>
    </w:p>
    <w:p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конечного потребления продуктов и услуг;</w:t>
      </w:r>
    </w:p>
    <w:p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сумму валовой добавленной стоимости и чистых налогов на</w:t>
      </w:r>
    </w:p>
    <w:p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продукты и импорт.</w:t>
      </w:r>
    </w:p>
    <w:p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43640D" w:rsidRPr="0043640D" w:rsidTr="007166FA">
        <w:trPr>
          <w:jc w:val="center"/>
        </w:trPr>
        <w:tc>
          <w:tcPr>
            <w:tcW w:w="6204" w:type="dxa"/>
            <w:vMerge w:val="restart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43640D" w:rsidRPr="0043640D" w:rsidTr="007166FA">
        <w:trPr>
          <w:jc w:val="center"/>
        </w:trPr>
        <w:tc>
          <w:tcPr>
            <w:tcW w:w="6204" w:type="dxa"/>
            <w:vMerge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43640D" w:rsidRPr="0043640D" w:rsidTr="007166FA">
        <w:trPr>
          <w:jc w:val="center"/>
        </w:trPr>
        <w:tc>
          <w:tcPr>
            <w:tcW w:w="6204" w:type="dxa"/>
          </w:tcPr>
          <w:p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23600</w:t>
            </w:r>
          </w:p>
        </w:tc>
        <w:tc>
          <w:tcPr>
            <w:tcW w:w="1666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23750</w:t>
            </w:r>
          </w:p>
        </w:tc>
      </w:tr>
      <w:tr w:rsidR="0043640D" w:rsidRPr="0043640D" w:rsidTr="007166FA">
        <w:trPr>
          <w:jc w:val="center"/>
        </w:trPr>
        <w:tc>
          <w:tcPr>
            <w:tcW w:w="6204" w:type="dxa"/>
          </w:tcPr>
          <w:p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640</w:t>
            </w:r>
          </w:p>
        </w:tc>
        <w:tc>
          <w:tcPr>
            <w:tcW w:w="1666" w:type="dxa"/>
            <w:vAlign w:val="center"/>
          </w:tcPr>
          <w:p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550</w:t>
            </w:r>
          </w:p>
        </w:tc>
      </w:tr>
    </w:tbl>
    <w:p w:rsidR="007166FA" w:rsidRPr="0043640D" w:rsidRDefault="007166FA" w:rsidP="007166F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оборачиваемости оборотных фондов за каждый год;</w:t>
      </w:r>
    </w:p>
    <w:p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показателей оборачиваемости.</w:t>
      </w:r>
    </w:p>
    <w:p w:rsidR="007166FA" w:rsidRPr="0043640D" w:rsidRDefault="007166F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Имеются следующие условные данные по экономике региона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(млн долл.)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93"/>
        <w:gridCol w:w="1275"/>
      </w:tblGrid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продуктов в отраслях материального производства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5693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Выручка от оказания платных услуг 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2543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оказание бесплатных услуг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553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полученные банками за предоставленные кредиты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689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выплаченные банками за использованные кредиты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442,96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Материальные затраты на производство продуктов и услуг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2812,6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командировки, всего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52,9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-в том числе суточные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11,8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нематериальных услуг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132,3</w:t>
            </w:r>
          </w:p>
        </w:tc>
      </w:tr>
      <w:tr w:rsidR="0043640D" w:rsidRPr="0043640D" w:rsidTr="007166FA">
        <w:trPr>
          <w:jc w:val="center"/>
        </w:trPr>
        <w:tc>
          <w:tcPr>
            <w:tcW w:w="7993" w:type="dxa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элементы промежуточного потребления</w:t>
            </w:r>
          </w:p>
        </w:tc>
        <w:tc>
          <w:tcPr>
            <w:tcW w:w="1275" w:type="dxa"/>
            <w:vAlign w:val="center"/>
          </w:tcPr>
          <w:p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</w:tr>
    </w:tbl>
    <w:p w:rsidR="007166FA" w:rsidRPr="0043640D" w:rsidRDefault="007166FA" w:rsidP="007166FA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валовую добавленную стоимость экономики региона.</w:t>
      </w:r>
    </w:p>
    <w:p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81617" w:rsidRPr="0043640D" w:rsidRDefault="00181617" w:rsidP="00181617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Имеются следующие условные данные (млн долл.)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808"/>
      </w:tblGrid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5321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2688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1602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11</w:t>
            </w: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3640D" w:rsidRPr="0043640D" w:rsidTr="00903904">
        <w:trPr>
          <w:jc w:val="center"/>
        </w:trPr>
        <w:tc>
          <w:tcPr>
            <w:tcW w:w="5070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157</w:t>
            </w:r>
          </w:p>
        </w:tc>
      </w:tr>
    </w:tbl>
    <w:p w:rsidR="00181617" w:rsidRPr="0043640D" w:rsidRDefault="00181617" w:rsidP="00181617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bookmarkEnd w:id="0"/>
    <w:p w:rsidR="00181617" w:rsidRPr="0043640D" w:rsidRDefault="00181617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181617" w:rsidRPr="0043640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5BF1959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FD5139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03A7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827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30641CB5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3A201DE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3AFB7BE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53D848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545349D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5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0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2" w15:restartNumberingAfterBreak="0">
    <w:nsid w:val="6D517F3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3" w15:restartNumberingAfterBreak="0">
    <w:nsid w:val="6EA61E6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4" w15:restartNumberingAfterBreak="0">
    <w:nsid w:val="73CC1C40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5" w15:restartNumberingAfterBreak="0">
    <w:nsid w:val="78912902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7" w15:restartNumberingAfterBreak="0">
    <w:nsid w:val="7FA8203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21"/>
  </w:num>
  <w:num w:numId="5">
    <w:abstractNumId w:val="12"/>
  </w:num>
  <w:num w:numId="6">
    <w:abstractNumId w:val="10"/>
  </w:num>
  <w:num w:numId="7">
    <w:abstractNumId w:val="19"/>
  </w:num>
  <w:num w:numId="8">
    <w:abstractNumId w:val="31"/>
  </w:num>
  <w:num w:numId="9">
    <w:abstractNumId w:val="4"/>
  </w:num>
  <w:num w:numId="10">
    <w:abstractNumId w:val="28"/>
  </w:num>
  <w:num w:numId="11">
    <w:abstractNumId w:val="22"/>
  </w:num>
  <w:num w:numId="12">
    <w:abstractNumId w:val="36"/>
  </w:num>
  <w:num w:numId="13">
    <w:abstractNumId w:val="0"/>
  </w:num>
  <w:num w:numId="14">
    <w:abstractNumId w:val="5"/>
  </w:num>
  <w:num w:numId="15">
    <w:abstractNumId w:val="25"/>
  </w:num>
  <w:num w:numId="16">
    <w:abstractNumId w:val="29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7"/>
  </w:num>
  <w:num w:numId="22">
    <w:abstractNumId w:val="30"/>
  </w:num>
  <w:num w:numId="23">
    <w:abstractNumId w:val="6"/>
  </w:num>
  <w:num w:numId="24">
    <w:abstractNumId w:val="26"/>
  </w:num>
  <w:num w:numId="25">
    <w:abstractNumId w:val="32"/>
  </w:num>
  <w:num w:numId="26">
    <w:abstractNumId w:val="23"/>
  </w:num>
  <w:num w:numId="27">
    <w:abstractNumId w:val="33"/>
  </w:num>
  <w:num w:numId="28">
    <w:abstractNumId w:val="15"/>
  </w:num>
  <w:num w:numId="29">
    <w:abstractNumId w:val="7"/>
  </w:num>
  <w:num w:numId="30">
    <w:abstractNumId w:val="34"/>
  </w:num>
  <w:num w:numId="31">
    <w:abstractNumId w:val="37"/>
  </w:num>
  <w:num w:numId="32">
    <w:abstractNumId w:val="1"/>
  </w:num>
  <w:num w:numId="33">
    <w:abstractNumId w:val="24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6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compat>
    <w:compatSetting w:name="compatibilityMode" w:uri="http://schemas.microsoft.com/office/word" w:val="12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81617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3640D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C887-8E3D-4346-A4A5-CCD49111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80</cp:revision>
  <dcterms:created xsi:type="dcterms:W3CDTF">2015-03-22T13:10:00Z</dcterms:created>
  <dcterms:modified xsi:type="dcterms:W3CDTF">2019-05-24T04:44:00Z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